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5DB2" w14:textId="2279639E" w:rsidR="001A0A53" w:rsidRPr="006F2E73" w:rsidRDefault="0023390E">
      <w:pPr>
        <w:rPr>
          <w:sz w:val="24"/>
          <w:szCs w:val="24"/>
          <w:lang w:val="en-US"/>
        </w:rPr>
      </w:pPr>
      <w:r w:rsidRPr="006F2E73">
        <w:rPr>
          <w:sz w:val="24"/>
          <w:szCs w:val="24"/>
          <w:lang w:val="en-US"/>
        </w:rPr>
        <w:t xml:space="preserve">Taxi </w:t>
      </w:r>
      <w:r w:rsidR="0024793C">
        <w:rPr>
          <w:sz w:val="24"/>
          <w:szCs w:val="24"/>
          <w:lang w:val="en-US"/>
        </w:rPr>
        <w:t>/ Hackney Business Support</w:t>
      </w:r>
      <w:r w:rsidRPr="006F2E73">
        <w:rPr>
          <w:sz w:val="24"/>
          <w:szCs w:val="24"/>
          <w:lang w:val="en-US"/>
        </w:rPr>
        <w:t xml:space="preserve"> Brief</w:t>
      </w:r>
    </w:p>
    <w:p w14:paraId="77151A54" w14:textId="4B6A5C8B" w:rsidR="0023390E" w:rsidRDefault="0024793C" w:rsidP="0024793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Taxi / Hackney businesses were eligible to apply for support under the South </w:t>
      </w:r>
      <w:proofErr w:type="spellStart"/>
      <w:r>
        <w:rPr>
          <w:sz w:val="24"/>
          <w:szCs w:val="24"/>
          <w:lang w:val="en-US"/>
        </w:rPr>
        <w:t>Ribble</w:t>
      </w:r>
      <w:proofErr w:type="spellEnd"/>
      <w:r>
        <w:rPr>
          <w:sz w:val="24"/>
          <w:szCs w:val="24"/>
          <w:lang w:val="en-US"/>
        </w:rPr>
        <w:t xml:space="preserve"> Additional Restrictions Grants (ARG), which included home based businesses as well as those occupying commercial premises. The operational base had to be in South </w:t>
      </w:r>
      <w:proofErr w:type="spellStart"/>
      <w:r>
        <w:rPr>
          <w:sz w:val="24"/>
          <w:szCs w:val="24"/>
          <w:lang w:val="en-US"/>
        </w:rPr>
        <w:t>Ribble</w:t>
      </w:r>
      <w:proofErr w:type="spellEnd"/>
      <w:r>
        <w:rPr>
          <w:sz w:val="24"/>
          <w:szCs w:val="24"/>
          <w:lang w:val="en-US"/>
        </w:rPr>
        <w:t xml:space="preserve"> and they needed to be able to show loss of </w:t>
      </w:r>
      <w:r w:rsidR="005E4019">
        <w:rPr>
          <w:sz w:val="24"/>
          <w:szCs w:val="24"/>
          <w:lang w:val="en-US"/>
        </w:rPr>
        <w:t xml:space="preserve">business </w:t>
      </w:r>
      <w:r>
        <w:rPr>
          <w:sz w:val="24"/>
          <w:szCs w:val="24"/>
          <w:lang w:val="en-US"/>
        </w:rPr>
        <w:t>income</w:t>
      </w:r>
      <w:r w:rsidR="005E4019">
        <w:rPr>
          <w:sz w:val="24"/>
          <w:szCs w:val="24"/>
          <w:lang w:val="en-US"/>
        </w:rPr>
        <w:t xml:space="preserve"> (</w:t>
      </w:r>
      <w:r w:rsidR="00CA373B">
        <w:rPr>
          <w:sz w:val="24"/>
          <w:szCs w:val="24"/>
          <w:lang w:val="en-US"/>
        </w:rPr>
        <w:t>the ARG cannot be used as a wage supplement</w:t>
      </w:r>
      <w:r w:rsidR="005E4019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14:paraId="6F41CB27" w14:textId="444059F6" w:rsidR="0024793C" w:rsidRDefault="005E4019" w:rsidP="0024793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Taxi / Hackney drivers would also be eligible to apply for the Self Employed Income Support Scheme (SEISS) provided they were self-employed or a member of a partnership, traded in the tax year 2019-20 and 2020-21, didn’t trade through a limited company, had submitted a text return before 2</w:t>
      </w:r>
      <w:r w:rsidRPr="005E4019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March 2021 and had trading profits of no more than £50,000. HMRC would have contacted anyone eligible based on tax returns.</w:t>
      </w:r>
    </w:p>
    <w:p w14:paraId="6285CDA7" w14:textId="72A6E37A" w:rsidR="005E4019" w:rsidRDefault="002971DC" w:rsidP="0024793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Taxi / Hackney drivers are currently able to apply for the ARG3 scheme under the hardship category (or the start-up category if they were starting a new business) – provided they meet the criteria. ARG cannot be used to fund wages, however, it could be used to fund licenses, insurance and vehicle running costs for example.</w:t>
      </w:r>
    </w:p>
    <w:p w14:paraId="3042255C" w14:textId="0F3B7009" w:rsidR="002971DC" w:rsidRPr="002971DC" w:rsidRDefault="002971DC" w:rsidP="00297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2971DC">
        <w:rPr>
          <w:rFonts w:eastAsia="Times New Roman" w:cstheme="minorHAnsi"/>
          <w:sz w:val="24"/>
          <w:szCs w:val="24"/>
          <w:lang w:val="en" w:eastAsia="en-GB"/>
        </w:rPr>
        <w:t>Under th</w:t>
      </w:r>
      <w:r w:rsidRPr="00261370">
        <w:rPr>
          <w:rFonts w:eastAsia="Times New Roman" w:cstheme="minorHAnsi"/>
          <w:sz w:val="24"/>
          <w:szCs w:val="24"/>
          <w:lang w:val="en" w:eastAsia="en-GB"/>
        </w:rPr>
        <w:t>e ARG3</w:t>
      </w:r>
      <w:r w:rsidRPr="002971DC">
        <w:rPr>
          <w:rFonts w:eastAsia="Times New Roman" w:cstheme="minorHAnsi"/>
          <w:sz w:val="24"/>
          <w:szCs w:val="24"/>
          <w:lang w:val="en" w:eastAsia="en-GB"/>
        </w:rPr>
        <w:t xml:space="preserve"> grant, a business may be eligible if it fulfils the below criteria:</w:t>
      </w:r>
    </w:p>
    <w:p w14:paraId="74A0069F" w14:textId="77777777" w:rsidR="002971DC" w:rsidRPr="002971DC" w:rsidRDefault="002971DC" w:rsidP="0026137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992" w:hanging="357"/>
        <w:rPr>
          <w:rFonts w:eastAsia="Times New Roman" w:cstheme="minorHAnsi"/>
          <w:sz w:val="24"/>
          <w:szCs w:val="24"/>
          <w:lang w:val="en" w:eastAsia="en-GB"/>
        </w:rPr>
      </w:pPr>
      <w:r w:rsidRPr="002971DC">
        <w:rPr>
          <w:rFonts w:eastAsia="Times New Roman" w:cstheme="minorHAnsi"/>
          <w:sz w:val="24"/>
          <w:szCs w:val="24"/>
          <w:lang w:val="en" w:eastAsia="en-GB"/>
        </w:rPr>
        <w:t xml:space="preserve">These grants are open to businesses based and operating in South </w:t>
      </w:r>
      <w:proofErr w:type="spellStart"/>
      <w:r w:rsidRPr="002971DC">
        <w:rPr>
          <w:rFonts w:eastAsia="Times New Roman" w:cstheme="minorHAnsi"/>
          <w:sz w:val="24"/>
          <w:szCs w:val="24"/>
          <w:lang w:val="en" w:eastAsia="en-GB"/>
        </w:rPr>
        <w:t>Ribble</w:t>
      </w:r>
      <w:proofErr w:type="spellEnd"/>
      <w:r w:rsidRPr="002971DC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3A2AF78D" w14:textId="77777777" w:rsidR="002971DC" w:rsidRPr="002971DC" w:rsidRDefault="002971DC" w:rsidP="0026137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992" w:hanging="357"/>
        <w:rPr>
          <w:rFonts w:eastAsia="Times New Roman" w:cstheme="minorHAnsi"/>
          <w:sz w:val="24"/>
          <w:szCs w:val="24"/>
          <w:lang w:val="en" w:eastAsia="en-GB"/>
        </w:rPr>
      </w:pPr>
      <w:r w:rsidRPr="002971DC">
        <w:rPr>
          <w:rFonts w:eastAsia="Times New Roman" w:cstheme="minorHAnsi"/>
          <w:sz w:val="24"/>
          <w:szCs w:val="24"/>
          <w:lang w:val="en" w:eastAsia="en-GB"/>
        </w:rPr>
        <w:t>Businesses can only apply in one category.</w:t>
      </w:r>
    </w:p>
    <w:p w14:paraId="1D67A462" w14:textId="77777777" w:rsidR="002971DC" w:rsidRPr="002971DC" w:rsidRDefault="002971DC" w:rsidP="0026137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992" w:hanging="357"/>
        <w:rPr>
          <w:rFonts w:eastAsia="Times New Roman" w:cstheme="minorHAnsi"/>
          <w:sz w:val="24"/>
          <w:szCs w:val="24"/>
          <w:lang w:val="en" w:eastAsia="en-GB"/>
        </w:rPr>
      </w:pPr>
      <w:r w:rsidRPr="002971DC">
        <w:rPr>
          <w:rFonts w:eastAsia="Times New Roman" w:cstheme="minorHAnsi"/>
          <w:sz w:val="24"/>
          <w:szCs w:val="24"/>
          <w:lang w:val="en" w:eastAsia="en-GB"/>
        </w:rPr>
        <w:t>To ensure as many people as possible can be assisted, only one application is permitted per business/applicant/premises.</w:t>
      </w:r>
    </w:p>
    <w:p w14:paraId="2C19F402" w14:textId="77777777" w:rsidR="002971DC" w:rsidRPr="002971DC" w:rsidRDefault="002971DC" w:rsidP="0026137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992" w:hanging="357"/>
        <w:rPr>
          <w:rFonts w:eastAsia="Times New Roman" w:cstheme="minorHAnsi"/>
          <w:sz w:val="24"/>
          <w:szCs w:val="24"/>
          <w:lang w:val="en" w:eastAsia="en-GB"/>
        </w:rPr>
      </w:pPr>
      <w:r w:rsidRPr="002971DC">
        <w:rPr>
          <w:rFonts w:eastAsia="Times New Roman" w:cstheme="minorHAnsi"/>
          <w:sz w:val="24"/>
          <w:szCs w:val="24"/>
          <w:lang w:val="en" w:eastAsia="en-GB"/>
        </w:rPr>
        <w:t>Business must have been active and trading as usual on the 1</w:t>
      </w:r>
      <w:r w:rsidRPr="002971DC">
        <w:rPr>
          <w:rFonts w:eastAsia="Times New Roman" w:cstheme="minorHAnsi"/>
          <w:sz w:val="24"/>
          <w:szCs w:val="24"/>
          <w:vertAlign w:val="superscript"/>
          <w:lang w:val="en" w:eastAsia="en-GB"/>
        </w:rPr>
        <w:t>st</w:t>
      </w:r>
      <w:r w:rsidRPr="002971DC">
        <w:rPr>
          <w:rFonts w:eastAsia="Times New Roman" w:cstheme="minorHAnsi"/>
          <w:sz w:val="24"/>
          <w:szCs w:val="24"/>
          <w:lang w:val="en" w:eastAsia="en-GB"/>
        </w:rPr>
        <w:t xml:space="preserve"> September 2021.</w:t>
      </w:r>
    </w:p>
    <w:p w14:paraId="7AB2B13D" w14:textId="77777777" w:rsidR="002971DC" w:rsidRPr="002971DC" w:rsidRDefault="002971DC" w:rsidP="0026137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992" w:hanging="357"/>
        <w:rPr>
          <w:rFonts w:eastAsia="Times New Roman" w:cstheme="minorHAnsi"/>
          <w:sz w:val="24"/>
          <w:szCs w:val="24"/>
          <w:lang w:val="en" w:eastAsia="en-GB"/>
        </w:rPr>
      </w:pPr>
      <w:r w:rsidRPr="002971DC">
        <w:rPr>
          <w:rFonts w:eastAsia="Times New Roman" w:cstheme="minorHAnsi"/>
          <w:sz w:val="24"/>
          <w:szCs w:val="24"/>
          <w:lang w:val="en" w:eastAsia="en-GB"/>
        </w:rPr>
        <w:t>The grant must not be used as a wage supplement</w:t>
      </w:r>
    </w:p>
    <w:p w14:paraId="09F9D6AE" w14:textId="77777777" w:rsidR="002971DC" w:rsidRPr="002971DC" w:rsidRDefault="002971DC" w:rsidP="00261370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992" w:hanging="357"/>
        <w:rPr>
          <w:rFonts w:eastAsia="Times New Roman" w:cstheme="minorHAnsi"/>
          <w:sz w:val="24"/>
          <w:szCs w:val="24"/>
          <w:lang w:val="en" w:eastAsia="en-GB"/>
        </w:rPr>
      </w:pPr>
      <w:r w:rsidRPr="002971DC">
        <w:rPr>
          <w:rFonts w:eastAsia="Times New Roman" w:cstheme="minorHAnsi"/>
          <w:sz w:val="24"/>
          <w:szCs w:val="24"/>
          <w:lang w:val="en" w:eastAsia="en-GB"/>
        </w:rPr>
        <w:t>Businesses that are dormant, in liquidation, dissolved, or subject to a striking-off notice are not eligible.</w:t>
      </w:r>
    </w:p>
    <w:p w14:paraId="50AD93E5" w14:textId="2CAA4745" w:rsidR="002971DC" w:rsidRPr="00261370" w:rsidRDefault="002971DC" w:rsidP="00261370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992" w:hanging="357"/>
        <w:rPr>
          <w:rFonts w:eastAsia="Times New Roman" w:cstheme="minorHAnsi"/>
          <w:sz w:val="24"/>
          <w:szCs w:val="24"/>
          <w:lang w:val="en" w:eastAsia="en-GB"/>
        </w:rPr>
      </w:pPr>
      <w:r w:rsidRPr="002971DC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Applications will be processed after the 31</w:t>
      </w:r>
      <w:r w:rsidRPr="002971DC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:lang w:val="en" w:eastAsia="en-GB"/>
        </w:rPr>
        <w:t>st</w:t>
      </w:r>
      <w:r w:rsidRPr="002971DC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 October closing date and will be processed on a first come, first served basis.</w:t>
      </w:r>
    </w:p>
    <w:p w14:paraId="1B7CFE75" w14:textId="4E0957DA" w:rsidR="002971DC" w:rsidRPr="006363B5" w:rsidRDefault="00D50BA0" w:rsidP="002971D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ARG3 </w:t>
      </w:r>
      <w:r w:rsidR="002971DC" w:rsidRPr="006363B5">
        <w:rPr>
          <w:rFonts w:eastAsia="Times New Roman" w:cstheme="minorHAnsi"/>
          <w:b/>
          <w:bCs/>
          <w:sz w:val="24"/>
          <w:szCs w:val="24"/>
          <w:lang w:val="en" w:eastAsia="en-GB"/>
        </w:rPr>
        <w:t>Grant Amounts</w:t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1"/>
        <w:gridCol w:w="4809"/>
      </w:tblGrid>
      <w:tr w:rsidR="002971DC" w:rsidRPr="002971DC" w14:paraId="0F8C8A7A" w14:textId="77777777" w:rsidTr="002971DC">
        <w:trPr>
          <w:tblCellSpacing w:w="15" w:type="dxa"/>
        </w:trPr>
        <w:tc>
          <w:tcPr>
            <w:tcW w:w="4356" w:type="dxa"/>
            <w:vAlign w:val="center"/>
            <w:hideMark/>
          </w:tcPr>
          <w:p w14:paraId="5382B305" w14:textId="77777777" w:rsidR="002971DC" w:rsidRPr="002971DC" w:rsidRDefault="002971DC" w:rsidP="00297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1DC">
              <w:rPr>
                <w:rFonts w:eastAsia="Times New Roman" w:cstheme="minorHAnsi"/>
                <w:sz w:val="24"/>
                <w:szCs w:val="24"/>
                <w:lang w:eastAsia="en-GB"/>
              </w:rPr>
              <w:t>Start-up Business (within 2021)</w:t>
            </w:r>
          </w:p>
        </w:tc>
        <w:tc>
          <w:tcPr>
            <w:tcW w:w="4764" w:type="dxa"/>
            <w:vAlign w:val="center"/>
            <w:hideMark/>
          </w:tcPr>
          <w:p w14:paraId="581A99D6" w14:textId="77777777" w:rsidR="002971DC" w:rsidRPr="002971DC" w:rsidRDefault="002971DC" w:rsidP="00297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1DC">
              <w:rPr>
                <w:rFonts w:eastAsia="Times New Roman" w:cstheme="minorHAnsi"/>
                <w:sz w:val="24"/>
                <w:szCs w:val="24"/>
                <w:lang w:eastAsia="en-GB"/>
              </w:rPr>
              <w:t>Home based £1,000; Rateable Value up to £15,000, £2,500; Rateable Value over £15,001, £5,000</w:t>
            </w:r>
          </w:p>
        </w:tc>
      </w:tr>
      <w:tr w:rsidR="002971DC" w:rsidRPr="002971DC" w14:paraId="12888147" w14:textId="77777777" w:rsidTr="002971DC">
        <w:trPr>
          <w:tblCellSpacing w:w="15" w:type="dxa"/>
        </w:trPr>
        <w:tc>
          <w:tcPr>
            <w:tcW w:w="4356" w:type="dxa"/>
            <w:vAlign w:val="center"/>
            <w:hideMark/>
          </w:tcPr>
          <w:p w14:paraId="1DA914BB" w14:textId="77777777" w:rsidR="002971DC" w:rsidRPr="002971DC" w:rsidRDefault="002971DC" w:rsidP="00297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1DC">
              <w:rPr>
                <w:rFonts w:eastAsia="Times New Roman" w:cstheme="minorHAnsi"/>
                <w:sz w:val="24"/>
                <w:szCs w:val="24"/>
                <w:lang w:eastAsia="en-GB"/>
              </w:rPr>
              <w:t>Hardship due to economic circumstances</w:t>
            </w:r>
          </w:p>
        </w:tc>
        <w:tc>
          <w:tcPr>
            <w:tcW w:w="4764" w:type="dxa"/>
            <w:vAlign w:val="center"/>
            <w:hideMark/>
          </w:tcPr>
          <w:p w14:paraId="7A8D1C6D" w14:textId="77777777" w:rsidR="002971DC" w:rsidRPr="002971DC" w:rsidRDefault="002971DC" w:rsidP="00297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1DC">
              <w:rPr>
                <w:rFonts w:eastAsia="Times New Roman" w:cstheme="minorHAnsi"/>
                <w:sz w:val="24"/>
                <w:szCs w:val="24"/>
                <w:lang w:eastAsia="en-GB"/>
              </w:rPr>
              <w:t>Home based, £2,000; Rateable Value less than £15,000, £4,000; Rateable Value over £15,001 £6,000</w:t>
            </w:r>
          </w:p>
        </w:tc>
      </w:tr>
    </w:tbl>
    <w:p w14:paraId="2EE302E9" w14:textId="77777777" w:rsidR="002971DC" w:rsidRPr="002971DC" w:rsidRDefault="002971DC" w:rsidP="002971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2971DC">
        <w:rPr>
          <w:rFonts w:eastAsia="Times New Roman" w:cstheme="minorHAnsi"/>
          <w:b/>
          <w:bCs/>
          <w:sz w:val="24"/>
          <w:szCs w:val="24"/>
          <w:lang w:val="en" w:eastAsia="en-GB"/>
        </w:rPr>
        <w:t>Start-up:</w:t>
      </w:r>
      <w:r w:rsidRPr="002971DC">
        <w:rPr>
          <w:rFonts w:eastAsia="Times New Roman" w:cstheme="minorHAnsi"/>
          <w:sz w:val="24"/>
          <w:szCs w:val="24"/>
          <w:lang w:val="en" w:eastAsia="en-GB"/>
        </w:rPr>
        <w:t xml:space="preserve"> This category is to assist new businesses, which started within 2021 or are starting-up to help them with initial start-up costs and to create a job opportunity. ARG cannot be used to fund wages or personal income for the person starting the business but it can be used to support start-up business costs such as rent, utilities and insurance etc. Business must be the sole business of the applicant, be registered and operating within South </w:t>
      </w:r>
      <w:proofErr w:type="spellStart"/>
      <w:r w:rsidRPr="002971DC">
        <w:rPr>
          <w:rFonts w:eastAsia="Times New Roman" w:cstheme="minorHAnsi"/>
          <w:sz w:val="24"/>
          <w:szCs w:val="24"/>
          <w:lang w:val="en" w:eastAsia="en-GB"/>
        </w:rPr>
        <w:t>Ribble</w:t>
      </w:r>
      <w:proofErr w:type="spellEnd"/>
      <w:r w:rsidRPr="002971DC">
        <w:rPr>
          <w:rFonts w:eastAsia="Times New Roman" w:cstheme="minorHAnsi"/>
          <w:sz w:val="24"/>
          <w:szCs w:val="24"/>
          <w:lang w:val="en" w:eastAsia="en-GB"/>
        </w:rPr>
        <w:t xml:space="preserve"> and have </w:t>
      </w:r>
      <w:r w:rsidRPr="002971DC">
        <w:rPr>
          <w:rFonts w:eastAsia="Times New Roman" w:cstheme="minorHAnsi"/>
          <w:sz w:val="24"/>
          <w:szCs w:val="24"/>
          <w:lang w:val="en" w:eastAsia="en-GB"/>
        </w:rPr>
        <w:lastRenderedPageBreak/>
        <w:t>started since 1</w:t>
      </w:r>
      <w:r w:rsidRPr="002971DC">
        <w:rPr>
          <w:rFonts w:eastAsia="Times New Roman" w:cstheme="minorHAnsi"/>
          <w:sz w:val="24"/>
          <w:szCs w:val="24"/>
          <w:vertAlign w:val="superscript"/>
          <w:lang w:val="en" w:eastAsia="en-GB"/>
        </w:rPr>
        <w:t>st</w:t>
      </w:r>
      <w:r w:rsidRPr="002971DC">
        <w:rPr>
          <w:rFonts w:eastAsia="Times New Roman" w:cstheme="minorHAnsi"/>
          <w:sz w:val="24"/>
          <w:szCs w:val="24"/>
          <w:lang w:val="en" w:eastAsia="en-GB"/>
        </w:rPr>
        <w:t xml:space="preserve"> January 2021. For self-employed business applicants, it must be their only employment.</w:t>
      </w:r>
    </w:p>
    <w:p w14:paraId="55F37CFC" w14:textId="16F5C6A0" w:rsidR="002971DC" w:rsidRDefault="002971DC" w:rsidP="002971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2971DC">
        <w:rPr>
          <w:rFonts w:eastAsia="Times New Roman" w:cstheme="minorHAnsi"/>
          <w:b/>
          <w:bCs/>
          <w:sz w:val="24"/>
          <w:szCs w:val="24"/>
          <w:lang w:val="en" w:eastAsia="en-GB"/>
        </w:rPr>
        <w:t>Hardship:</w:t>
      </w:r>
      <w:r w:rsidRPr="002971DC">
        <w:rPr>
          <w:rFonts w:eastAsia="Times New Roman" w:cstheme="minorHAnsi"/>
          <w:sz w:val="24"/>
          <w:szCs w:val="24"/>
          <w:lang w:val="en" w:eastAsia="en-GB"/>
        </w:rPr>
        <w:t xml:space="preserve"> This category is to assist businesses, which are impacted by the current economic circumstances. The Business must be able to demonstrate a significant loss of income during the qualifying period (July to September 2021) compared with the equivalent period in 2020 or 2019.</w:t>
      </w:r>
    </w:p>
    <w:p w14:paraId="6DD1A6C3" w14:textId="1EF7815A" w:rsidR="008D0E5F" w:rsidRDefault="008D0E5F" w:rsidP="002971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</w:p>
    <w:p w14:paraId="182A0C93" w14:textId="1415AFE3" w:rsidR="008D0E5F" w:rsidRDefault="008D0E5F" w:rsidP="002971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Please email any enquiries to: </w:t>
      </w:r>
      <w:hyperlink r:id="rId5" w:history="1">
        <w:r w:rsidRPr="00150FDD">
          <w:rPr>
            <w:rStyle w:val="Hyperlink"/>
            <w:rFonts w:eastAsia="Times New Roman" w:cstheme="minorHAnsi"/>
            <w:sz w:val="24"/>
            <w:szCs w:val="24"/>
            <w:lang w:val="en" w:eastAsia="en-GB"/>
          </w:rPr>
          <w:t>businessgrants@southribble.gov.uk</w:t>
        </w:r>
      </w:hyperlink>
    </w:p>
    <w:p w14:paraId="57691394" w14:textId="1F095343" w:rsidR="008D0E5F" w:rsidRDefault="008D0E5F" w:rsidP="002971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</w:p>
    <w:p w14:paraId="43CBE2DE" w14:textId="77777777" w:rsidR="008D0E5F" w:rsidRPr="002971DC" w:rsidRDefault="008D0E5F" w:rsidP="002971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bookmarkStart w:id="0" w:name="_GoBack"/>
      <w:bookmarkEnd w:id="0"/>
    </w:p>
    <w:p w14:paraId="0EF74FC1" w14:textId="77777777" w:rsidR="00D50BA0" w:rsidRDefault="00D50BA0" w:rsidP="0026137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For Information</w:t>
      </w:r>
    </w:p>
    <w:p w14:paraId="3959C299" w14:textId="3DBDA3EF" w:rsidR="00E5788F" w:rsidRDefault="00E5788F" w:rsidP="0026137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ARG1 Scheme Grant Amounts</w:t>
      </w:r>
      <w:r w:rsidR="00D50BA0">
        <w:rPr>
          <w:rFonts w:cstheme="minorHAnsi"/>
          <w:sz w:val="24"/>
          <w:szCs w:val="24"/>
          <w:lang w:val="en-US"/>
        </w:rPr>
        <w:t xml:space="preserve"> were:</w:t>
      </w:r>
    </w:p>
    <w:p w14:paraId="3F026D8B" w14:textId="5B313A12" w:rsidR="00E5788F" w:rsidRDefault="00E5788F" w:rsidP="00261370">
      <w:pPr>
        <w:rPr>
          <w:rFonts w:cstheme="minorHAnsi"/>
          <w:sz w:val="24"/>
          <w:szCs w:val="24"/>
          <w:lang w:val="en-US"/>
        </w:rPr>
      </w:pPr>
    </w:p>
    <w:tbl>
      <w:tblPr>
        <w:tblW w:w="98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9"/>
        <w:gridCol w:w="918"/>
        <w:gridCol w:w="1019"/>
        <w:gridCol w:w="918"/>
        <w:gridCol w:w="1019"/>
        <w:gridCol w:w="918"/>
        <w:gridCol w:w="1019"/>
        <w:gridCol w:w="918"/>
        <w:gridCol w:w="1019"/>
      </w:tblGrid>
      <w:tr w:rsidR="00E5788F" w:rsidRPr="00E5788F" w14:paraId="5B7758D1" w14:textId="77777777" w:rsidTr="00E5788F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2A2F5C32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F0F0BCE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17  Oct - 4 Nov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F44C8FB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5 Nov - 1 Dec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CDF3BA5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2 Dec - 29 Dec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B000973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30 Dec - 15 Feb</w:t>
            </w:r>
          </w:p>
        </w:tc>
      </w:tr>
      <w:tr w:rsidR="00E5788F" w:rsidRPr="00E5788F" w14:paraId="4F3C6FDE" w14:textId="77777777" w:rsidTr="00E5788F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1E2386A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2041376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Tier 3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16B4E49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National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3CA73E1C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Tier 3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7067ED4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Tier 4/National</w:t>
            </w:r>
          </w:p>
        </w:tc>
      </w:tr>
      <w:tr w:rsidR="00E5788F" w:rsidRPr="00E5788F" w14:paraId="31B64956" w14:textId="77777777" w:rsidTr="00E5788F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C9C845E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Fixed property rent and business rates cost per month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30B0E38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highlight w:val="yellow"/>
                <w:bdr w:val="none" w:sz="0" w:space="0" w:color="auto" w:frame="1"/>
                <w:lang w:eastAsia="en-GB"/>
              </w:rPr>
              <w:t>Open (P)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A2D219B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Closed (F)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06F180C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highlight w:val="yellow"/>
                <w:bdr w:val="none" w:sz="0" w:space="0" w:color="auto" w:frame="1"/>
                <w:lang w:eastAsia="en-GB"/>
              </w:rPr>
              <w:t>Open (P)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0FA3B96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Closed (F)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ACC97F2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highlight w:val="yellow"/>
                <w:bdr w:val="none" w:sz="0" w:space="0" w:color="auto" w:frame="1"/>
                <w:lang w:eastAsia="en-GB"/>
              </w:rPr>
              <w:t>Open (P)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5EE106E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Closed (F)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8F92CFE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highlight w:val="yellow"/>
                <w:bdr w:val="none" w:sz="0" w:space="0" w:color="auto" w:frame="1"/>
                <w:lang w:eastAsia="en-GB"/>
              </w:rPr>
              <w:t>Open (P)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A3FEEBA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b/>
                <w:bCs/>
                <w:color w:val="4A4A4A"/>
                <w:bdr w:val="none" w:sz="0" w:space="0" w:color="auto" w:frame="1"/>
                <w:lang w:eastAsia="en-GB"/>
              </w:rPr>
              <w:t>Closed (F)</w:t>
            </w:r>
          </w:p>
        </w:tc>
      </w:tr>
      <w:tr w:rsidR="00E5788F" w:rsidRPr="00E5788F" w14:paraId="35D3790F" w14:textId="77777777" w:rsidTr="00E5788F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39283412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£0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2275817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423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A6B62D7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604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34BBAEF1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623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F332F6A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9AEC383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623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08F2F71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01BB407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1,068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21D6504E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1,526</w:t>
            </w:r>
          </w:p>
        </w:tc>
      </w:tr>
      <w:tr w:rsidR="00E5788F" w:rsidRPr="00E5788F" w14:paraId="4DA2E203" w14:textId="77777777" w:rsidTr="00E5788F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CD7FB2F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£1 - £1,500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7896F57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634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E813804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905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E4EE25F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934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34F2616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1,334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E74F016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934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72B4A84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1,334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2D69194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1,601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C9BBCB3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2,287</w:t>
            </w:r>
          </w:p>
        </w:tc>
      </w:tr>
      <w:tr w:rsidR="00E5788F" w:rsidRPr="00E5788F" w14:paraId="1111E292" w14:textId="77777777" w:rsidTr="00E5788F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CC575C3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£1,501 - £3,000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9A23666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2F0DAC11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1,357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3A8EC6D1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1,400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26E1413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2,000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2404CFB5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1,400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7A10C12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2,000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28590D05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2,400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B5543AB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3,429</w:t>
            </w:r>
          </w:p>
        </w:tc>
      </w:tr>
      <w:tr w:rsidR="00E5788F" w:rsidRPr="00E5788F" w14:paraId="4B1113FC" w14:textId="77777777" w:rsidTr="00E5788F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62DC0CB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£3,001 - Over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0F6F566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1,425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D30FE48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2,036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B97DAC8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2,100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BB13311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3,000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2800CD8C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2,100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1DA3A71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3,000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C00DEEF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highlight w:val="yellow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highlight w:val="yellow"/>
                <w:lang w:eastAsia="en-GB"/>
              </w:rPr>
              <w:t>3,600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8756783" w14:textId="77777777" w:rsidR="00E5788F" w:rsidRPr="00E5788F" w:rsidRDefault="00E5788F" w:rsidP="000F7D74">
            <w:pPr>
              <w:spacing w:after="0" w:line="240" w:lineRule="auto"/>
              <w:rPr>
                <w:rFonts w:eastAsia="Times New Roman" w:cstheme="minorHAnsi"/>
                <w:color w:val="4A4A4A"/>
                <w:lang w:eastAsia="en-GB"/>
              </w:rPr>
            </w:pPr>
            <w:r w:rsidRPr="00E5788F">
              <w:rPr>
                <w:rFonts w:eastAsia="Times New Roman" w:cstheme="minorHAnsi"/>
                <w:color w:val="4A4A4A"/>
                <w:lang w:eastAsia="en-GB"/>
              </w:rPr>
              <w:t>5,143</w:t>
            </w:r>
          </w:p>
        </w:tc>
      </w:tr>
    </w:tbl>
    <w:p w14:paraId="0A8DB6CF" w14:textId="041A88A6" w:rsidR="00E5788F" w:rsidRDefault="00E5788F" w:rsidP="00261370">
      <w:pPr>
        <w:rPr>
          <w:rFonts w:cstheme="minorHAnsi"/>
          <w:sz w:val="24"/>
          <w:szCs w:val="24"/>
          <w:lang w:val="en-US"/>
        </w:rPr>
      </w:pPr>
    </w:p>
    <w:p w14:paraId="08F90DC4" w14:textId="5591DA4A" w:rsidR="00CA373B" w:rsidRDefault="00CA373B" w:rsidP="00261370">
      <w:pPr>
        <w:rPr>
          <w:rFonts w:cstheme="minorHAnsi"/>
          <w:sz w:val="24"/>
          <w:szCs w:val="24"/>
          <w:lang w:val="en-US"/>
        </w:rPr>
      </w:pPr>
    </w:p>
    <w:p w14:paraId="57702AAA" w14:textId="77777777" w:rsidR="00CA373B" w:rsidRPr="00261370" w:rsidRDefault="00CA373B" w:rsidP="00261370">
      <w:pPr>
        <w:rPr>
          <w:rFonts w:cstheme="minorHAnsi"/>
          <w:sz w:val="24"/>
          <w:szCs w:val="24"/>
          <w:lang w:val="en-US"/>
        </w:rPr>
      </w:pPr>
    </w:p>
    <w:sectPr w:rsidR="00CA373B" w:rsidRPr="00261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6EC7"/>
    <w:multiLevelType w:val="hybridMultilevel"/>
    <w:tmpl w:val="15A6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1880"/>
    <w:multiLevelType w:val="multilevel"/>
    <w:tmpl w:val="48B6E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03978"/>
    <w:multiLevelType w:val="multilevel"/>
    <w:tmpl w:val="E3D03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0E"/>
    <w:rsid w:val="001A0A53"/>
    <w:rsid w:val="0023390E"/>
    <w:rsid w:val="0024793C"/>
    <w:rsid w:val="00261370"/>
    <w:rsid w:val="002971DC"/>
    <w:rsid w:val="005E4019"/>
    <w:rsid w:val="006363B5"/>
    <w:rsid w:val="006F2E73"/>
    <w:rsid w:val="007303ED"/>
    <w:rsid w:val="008D0E5F"/>
    <w:rsid w:val="00CA373B"/>
    <w:rsid w:val="00D50BA0"/>
    <w:rsid w:val="00E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4B83"/>
  <w15:chartTrackingRefBased/>
  <w15:docId w15:val="{0E1C703D-ACF8-4F57-AAF6-1460EA0B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71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0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nessgrants@southribb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Clough</dc:creator>
  <cp:keywords/>
  <dc:description/>
  <cp:lastModifiedBy>Jennifer Clough</cp:lastModifiedBy>
  <cp:revision>10</cp:revision>
  <dcterms:created xsi:type="dcterms:W3CDTF">2021-10-26T15:19:00Z</dcterms:created>
  <dcterms:modified xsi:type="dcterms:W3CDTF">2021-10-26T15:57:00Z</dcterms:modified>
</cp:coreProperties>
</file>